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426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Style w:val="cat-FIOgrp-17rplc-4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</w:rPr>
        <w:t>...</w:t>
      </w:r>
      <w:r>
        <w:rPr>
          <w:rStyle w:val="cat-PassportDatagrp-23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являющегося инвалидом 2 группы (справка МСЭ -2020 №1859245),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8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решения Ханты-Мансийского районного суда от </w:t>
      </w:r>
      <w:r>
        <w:rPr>
          <w:rStyle w:val="cat-Dategrp-9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привлеченным к административной ответственности </w:t>
      </w: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ст.19.24 КоАП РФ (вступило в законную силу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Style w:val="cat-Dategrp-12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период времени с </w:t>
      </w:r>
      <w:r>
        <w:rPr>
          <w:rStyle w:val="cat-Timegrp-24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до </w:t>
      </w:r>
      <w:r>
        <w:rPr>
          <w:rStyle w:val="cat-Timegrp-25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 xml:space="preserve">не находился по месту жительства по адресу: </w:t>
      </w:r>
      <w:r>
        <w:rPr>
          <w:rFonts w:ascii="Times New Roman" w:eastAsia="Times New Roman" w:hAnsi="Times New Roman" w:cs="Times New Roman"/>
        </w:rPr>
        <w:t>г,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чем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 xml:space="preserve">366308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рапортом оперативного дежурного дежурной части МО МВД России «Ханты-Мансийский»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актом посещения </w:t>
      </w:r>
      <w:r>
        <w:rPr>
          <w:rStyle w:val="cat-FIOgrp-2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ВЛ.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 месту жительства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 xml:space="preserve">в ночь с 24.01.2-24 на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он 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заключения о заведении дела административного надзора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месте жительства от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положения ч.3 ст.19.24 КоАП РФ необходимо рассматривать во взаимосвязи с п.2 ч.1 ст.4.3 и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7rplc-42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22rplc-4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</w:t>
      </w:r>
      <w:r>
        <w:rPr>
          <w:rStyle w:val="cat-Addressgrp-5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6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6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7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8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Style w:val="cat-PhoneNumbergrp-29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0412365400725004262419144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1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1rplc-5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Timegrp-25rplc-18">
    <w:name w:val="cat-Time grp-25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FIOgrp-21rplc-52">
    <w:name w:val="cat-FIO grp-2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